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CD8" w:rsidRPr="00D61992" w:rsidRDefault="00481CD8" w:rsidP="00D61992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bidi="th-TH"/>
        </w:rPr>
      </w:pPr>
    </w:p>
    <w:p w:rsidR="00481CD8" w:rsidRPr="00D61992" w:rsidRDefault="00D103A0" w:rsidP="00D61992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bidi="th-TH"/>
        </w:rPr>
      </w:pPr>
      <w:r w:rsidRPr="00D61992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="00481CD8" w:rsidRPr="00D61992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</w:r>
      <w:r w:rsidRPr="00D61992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กฎหมายควบคุมการค้าไม้ของสหภาพยุโรป</w:t>
      </w:r>
      <w:r w:rsidR="00D61992" w:rsidRPr="00D61992">
        <w:rPr>
          <w:rFonts w:cs="TH SarabunPSK"/>
          <w:bCs/>
          <w:color w:val="385623" w:themeColor="accent6" w:themeShade="80"/>
          <w:sz w:val="32"/>
          <w:szCs w:val="32"/>
          <w:lang w:bidi="th-TH"/>
        </w:rPr>
        <w:t xml:space="preserve"> </w:t>
      </w:r>
      <w:r w:rsidRPr="00D61992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D61992">
        <w:rPr>
          <w:rFonts w:cs="TH SarabunPSK"/>
          <w:b/>
          <w:color w:val="385623" w:themeColor="accent6" w:themeShade="80"/>
          <w:sz w:val="32"/>
          <w:szCs w:val="32"/>
        </w:rPr>
        <w:t>EU Timber Regulation</w:t>
      </w:r>
      <w:r w:rsidRPr="00D61992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D103A0" w:rsidRPr="00D61992" w:rsidRDefault="00D103A0" w:rsidP="00D61992">
      <w:pPr>
        <w:jc w:val="center"/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</w:pPr>
      <w:r w:rsidRPr="00D61992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D61992">
        <w:rPr>
          <w:rFonts w:cs="TH SarabunPSK"/>
          <w:b/>
          <w:color w:val="385623" w:themeColor="accent6" w:themeShade="80"/>
          <w:sz w:val="28"/>
          <w:szCs w:val="28"/>
          <w:lang w:val="en-US" w:bidi="th-TH"/>
        </w:rPr>
        <w:t>10:</w:t>
      </w:r>
      <w:r w:rsidRPr="00D61992">
        <w:rPr>
          <w:rFonts w:cs="TH SarabunPSK"/>
          <w:bCs/>
          <w:color w:val="385623" w:themeColor="accent6" w:themeShade="80"/>
          <w:sz w:val="28"/>
          <w:szCs w:val="28"/>
          <w:lang w:val="en-US" w:bidi="th-TH"/>
        </w:rPr>
        <w:t xml:space="preserve"> </w:t>
      </w:r>
      <w:r w:rsidRPr="00D61992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ข้อท้าทายที่วิสาหกิจขนาดกลางและขนาดย่อมในประเทศที่เข้าร่วมต้องเผชิญในการดำเนินการตามกฎหมายควบคุมการค้าไม้ของสหภาพยุโรป (</w:t>
      </w:r>
      <w:r w:rsidRPr="00D61992">
        <w:rPr>
          <w:rFonts w:cs="TH SarabunPSK"/>
          <w:b/>
          <w:color w:val="385623" w:themeColor="accent6" w:themeShade="80"/>
          <w:sz w:val="28"/>
          <w:szCs w:val="28"/>
        </w:rPr>
        <w:t xml:space="preserve">EU </w:t>
      </w:r>
      <w:r w:rsidRPr="00D61992">
        <w:rPr>
          <w:rFonts w:cs="TH SarabunPSK"/>
          <w:b/>
          <w:color w:val="385623" w:themeColor="accent6" w:themeShade="80"/>
          <w:sz w:val="28"/>
          <w:szCs w:val="28"/>
          <w:lang w:val="en-US" w:bidi="th-TH"/>
        </w:rPr>
        <w:t>TR</w:t>
      </w:r>
      <w:r w:rsidRPr="00D61992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)</w:t>
      </w:r>
    </w:p>
    <w:p w:rsidR="00D103A0" w:rsidRPr="00D61992" w:rsidRDefault="00D103A0" w:rsidP="00D61992">
      <w:pPr>
        <w:rPr>
          <w:rFonts w:cs="TH SarabunPSK"/>
          <w:b/>
          <w:cs/>
          <w:lang w:bidi="th-TH"/>
        </w:rPr>
      </w:pPr>
      <w:r w:rsidRPr="00D61992">
        <w:rPr>
          <w:rFonts w:cs="TH SarabunPSK"/>
          <w:cs/>
          <w:lang w:bidi="th-TH"/>
        </w:rPr>
        <w:t>วัตถุประสงค์หลักสำหรับกิจกรรมการฝึกอบรม คือ การเสริมสร้างศักยภาพของวิสาหกิจขนาดกลางและย่อม พร้อมกับการเพิ่มระดับความรู้ ความเข้าใจเกี่ยวกับ</w:t>
      </w:r>
      <w:r w:rsidRPr="00D61992">
        <w:rPr>
          <w:rFonts w:cs="TH SarabunPSK"/>
          <w:b/>
          <w:color w:val="385623" w:themeColor="accent6" w:themeShade="80"/>
          <w:cs/>
          <w:lang w:bidi="th-TH"/>
        </w:rPr>
        <w:t>กฎหมายควบคุมการค้าไม้ของสหภาพยุโรป (</w:t>
      </w:r>
      <w:r w:rsidRPr="00D61992">
        <w:rPr>
          <w:rFonts w:cs="TH SarabunPSK"/>
          <w:bCs/>
          <w:color w:val="385623" w:themeColor="accent6" w:themeShade="80"/>
        </w:rPr>
        <w:t xml:space="preserve">EU </w:t>
      </w:r>
      <w:r w:rsidRPr="00D61992">
        <w:rPr>
          <w:rFonts w:cs="TH SarabunPSK"/>
          <w:bCs/>
          <w:color w:val="385623" w:themeColor="accent6" w:themeShade="80"/>
          <w:lang w:val="en-US" w:bidi="th-TH"/>
        </w:rPr>
        <w:t>TR</w:t>
      </w:r>
      <w:r w:rsidRPr="00D61992">
        <w:rPr>
          <w:rFonts w:cs="TH SarabunPSK"/>
          <w:b/>
          <w:color w:val="385623" w:themeColor="accent6" w:themeShade="80"/>
          <w:cs/>
          <w:lang w:bidi="th-TH"/>
        </w:rPr>
        <w:t>)</w:t>
      </w:r>
      <w:r w:rsidRPr="00D61992">
        <w:rPr>
          <w:rFonts w:cs="TH SarabunPSK"/>
          <w:b/>
          <w:cs/>
          <w:lang w:bidi="th-TH"/>
        </w:rPr>
        <w:t xml:space="preserve"> ให้กับวิสาหกิจขนาดกลางและขนาดย่อมจากประเทศที่เข้าร่วม ซึ่งจะช่วยให้วิสากิจเหล่านี้สามารถส่งออกผลิตภัณฑ์ไปยังสหภาพยุโรปได้ จนกว่า </w:t>
      </w:r>
      <w:r w:rsidRPr="00D61992">
        <w:rPr>
          <w:rFonts w:cs="TH SarabunPSK"/>
          <w:b/>
          <w:cs/>
          <w:lang w:val="en-US" w:bidi="th-TH"/>
        </w:rPr>
        <w:t xml:space="preserve">จะมีการลงนามใน </w:t>
      </w:r>
      <w:r w:rsidRPr="00D61992">
        <w:rPr>
          <w:rFonts w:cs="TH SarabunPSK"/>
          <w:bCs/>
          <w:lang w:val="en-US" w:bidi="th-TH"/>
        </w:rPr>
        <w:t xml:space="preserve">VPA </w:t>
      </w:r>
      <w:r w:rsidRPr="00D61992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D61992">
        <w:rPr>
          <w:rFonts w:cs="TH SarabunPSK"/>
          <w:bCs/>
          <w:lang w:val="en-US" w:bidi="th-TH"/>
        </w:rPr>
        <w:t>FLEGT</w:t>
      </w:r>
      <w:r w:rsidRPr="00D61992">
        <w:rPr>
          <w:rFonts w:cs="TH SarabunPSK"/>
          <w:cs/>
          <w:lang w:bidi="th-TH"/>
        </w:rPr>
        <w:t>)</w:t>
      </w:r>
      <w:r w:rsidRPr="00D61992">
        <w:rPr>
          <w:rFonts w:cs="TH SarabunPSK"/>
          <w:b/>
          <w:lang w:bidi="th-TH"/>
        </w:rPr>
        <w:t xml:space="preserve"> </w:t>
      </w:r>
      <w:r w:rsidRPr="00D61992">
        <w:rPr>
          <w:rFonts w:cs="TH SarabunPSK"/>
          <w:b/>
          <w:cs/>
          <w:lang w:bidi="th-TH"/>
        </w:rPr>
        <w:t>แบบฝึกหัดนี้มีวัตถุประสงค์ที่จะช่วยให้ผู้เข้าร่วมได้กำหนดข้อ</w:t>
      </w:r>
      <w:r w:rsidRPr="00D61992">
        <w:rPr>
          <w:rFonts w:cs="TH SarabunPSK"/>
          <w:color w:val="000000" w:themeColor="text1"/>
          <w:cs/>
          <w:lang w:bidi="th-TH"/>
        </w:rPr>
        <w:t>ท้าทายที่ต้องเผชิญในการดำเนินการตามกฎหมายควบคุมการค้าไม้ของสหภาพยุโรป (</w:t>
      </w:r>
      <w:r w:rsidRPr="00D61992">
        <w:rPr>
          <w:rFonts w:cs="TH SarabunPSK"/>
          <w:color w:val="000000" w:themeColor="text1"/>
        </w:rPr>
        <w:t xml:space="preserve">EU </w:t>
      </w:r>
      <w:r w:rsidRPr="00D61992">
        <w:rPr>
          <w:rFonts w:cs="TH SarabunPSK"/>
          <w:color w:val="000000" w:themeColor="text1"/>
          <w:lang w:val="en-US" w:bidi="th-TH"/>
        </w:rPr>
        <w:t>TR</w:t>
      </w:r>
      <w:r w:rsidRPr="00D61992">
        <w:rPr>
          <w:rFonts w:cs="TH SarabunPSK"/>
          <w:color w:val="000000" w:themeColor="text1"/>
          <w:cs/>
          <w:lang w:bidi="th-TH"/>
        </w:rPr>
        <w:t>)</w:t>
      </w:r>
      <w:r w:rsidRPr="00D61992">
        <w:rPr>
          <w:rFonts w:cs="TH SarabunPSK"/>
          <w:b/>
          <w:cs/>
          <w:lang w:bidi="th-TH"/>
        </w:rPr>
        <w:t xml:space="preserve"> นอกจากนั้นยังช่วยให้วิทยากรผู้ฝึกอบรม</w:t>
      </w:r>
      <w:r w:rsidR="005B0DF8" w:rsidRPr="00D61992">
        <w:rPr>
          <w:rFonts w:cs="TH SarabunPSK"/>
          <w:b/>
          <w:cs/>
          <w:lang w:bidi="th-TH"/>
        </w:rPr>
        <w:t>สามารถเน้นย้ำประเด็น หรือหัวข้อเฉพาะในการฝึกอบรมที่จัดให้กับวิสาหกิจขนาดกลางและขนาดย่อมด้วย</w:t>
      </w:r>
    </w:p>
    <w:p w:rsidR="00D103A0" w:rsidRPr="00D61992" w:rsidRDefault="00D103A0" w:rsidP="00D61992">
      <w:pPr>
        <w:rPr>
          <w:rFonts w:cs="TH SarabunPSK"/>
          <w:color w:val="000000" w:themeColor="text1"/>
          <w:lang w:bidi="th-TH"/>
        </w:rPr>
      </w:pPr>
      <w:bookmarkStart w:id="0" w:name="_GoBack"/>
      <w:bookmarkEnd w:id="0"/>
      <w:r w:rsidRPr="00D61992">
        <w:rPr>
          <w:rFonts w:cs="TH SarabunPSK"/>
          <w:cs/>
          <w:lang w:bidi="th-TH"/>
        </w:rPr>
        <w:t>กรุณาใช้ตารางด้านล่างนี้บันทึก</w:t>
      </w:r>
      <w:r w:rsidRPr="00D61992">
        <w:rPr>
          <w:rFonts w:cs="TH SarabunPSK"/>
          <w:color w:val="000000" w:themeColor="text1"/>
          <w:cs/>
          <w:lang w:bidi="th-TH"/>
        </w:rPr>
        <w:t>ข้อท้าทายที่วิสาหกิจขนาดกลางและขนาดย่อมต้องเผชิญในการดำเนินการตามกฎหมายควบคุมการค้าไม้ของสหภาพยุโรป (</w:t>
      </w:r>
      <w:r w:rsidRPr="00D61992">
        <w:rPr>
          <w:rFonts w:cs="TH SarabunPSK"/>
          <w:color w:val="000000" w:themeColor="text1"/>
        </w:rPr>
        <w:t xml:space="preserve">EU </w:t>
      </w:r>
      <w:r w:rsidRPr="00D61992">
        <w:rPr>
          <w:rFonts w:cs="TH SarabunPSK"/>
          <w:color w:val="000000" w:themeColor="text1"/>
          <w:lang w:val="en-US" w:bidi="th-TH"/>
        </w:rPr>
        <w:t>TR</w:t>
      </w:r>
      <w:r w:rsidRPr="00D61992">
        <w:rPr>
          <w:rFonts w:cs="TH SarabunPSK"/>
          <w:color w:val="000000" w:themeColor="text1"/>
          <w:cs/>
          <w:lang w:bidi="th-TH"/>
        </w:rPr>
        <w:t>) พร้อมกับระบุคำแนะนำสำหรับทางออก หรือคำตอบที่มีศักยภาพในการจัดการกับข้อท้าทายเหล่านั้น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7503"/>
        <w:gridCol w:w="1739"/>
      </w:tblGrid>
      <w:tr w:rsidR="00EB36C5" w:rsidRPr="00D61992" w:rsidTr="00DE2213">
        <w:trPr>
          <w:tblHeader/>
        </w:trPr>
        <w:tc>
          <w:tcPr>
            <w:tcW w:w="2513" w:type="pct"/>
          </w:tcPr>
          <w:p w:rsidR="00EB36C5" w:rsidRPr="00D61992" w:rsidRDefault="00D103A0" w:rsidP="00D61992">
            <w:pPr>
              <w:rPr>
                <w:rFonts w:cs="TH SarabunPSK"/>
                <w:bCs/>
              </w:rPr>
            </w:pPr>
            <w:r w:rsidRPr="00D61992">
              <w:rPr>
                <w:rFonts w:cs="TH SarabunPSK"/>
                <w:bCs/>
                <w:cs/>
                <w:lang w:bidi="th-TH"/>
              </w:rPr>
              <w:t>ข้อท้าทายที่วิสาหกิจขนาดกลางและขนาดย่อมต้องเผชิญในการดำเนินการตามกฎหมายควบคุมการค้าไม้ของสหภาพยุโรป (</w:t>
            </w:r>
            <w:r w:rsidRPr="00D61992">
              <w:rPr>
                <w:rFonts w:cs="TH SarabunPSK"/>
                <w:b/>
              </w:rPr>
              <w:t xml:space="preserve">EU </w:t>
            </w:r>
            <w:r w:rsidRPr="00D61992">
              <w:rPr>
                <w:rFonts w:cs="TH SarabunPSK"/>
                <w:b/>
                <w:lang w:val="en-US" w:bidi="th-TH"/>
              </w:rPr>
              <w:t>TR</w:t>
            </w:r>
            <w:r w:rsidRPr="00D61992">
              <w:rPr>
                <w:rFonts w:cs="TH SarabunPSK"/>
                <w:bCs/>
                <w:cs/>
                <w:lang w:bidi="th-TH"/>
              </w:rPr>
              <w:t>)</w:t>
            </w:r>
          </w:p>
        </w:tc>
        <w:tc>
          <w:tcPr>
            <w:tcW w:w="2487" w:type="pct"/>
          </w:tcPr>
          <w:p w:rsidR="00EB36C5" w:rsidRPr="00D61992" w:rsidRDefault="00D103A0" w:rsidP="00D61992">
            <w:pPr>
              <w:rPr>
                <w:rFonts w:cs="TH SarabunPSK"/>
                <w:bCs/>
              </w:rPr>
            </w:pPr>
            <w:r w:rsidRPr="00D61992">
              <w:rPr>
                <w:rFonts w:cs="TH SarabunPSK"/>
                <w:bCs/>
                <w:cs/>
                <w:lang w:bidi="th-TH"/>
              </w:rPr>
              <w:t>คำแนะนำสำหรับทางออก หรือคำตอบที่มีศักยภาพ</w:t>
            </w:r>
          </w:p>
        </w:tc>
      </w:tr>
      <w:tr w:rsidR="00EB36C5" w:rsidRPr="00D61992" w:rsidTr="00506A90">
        <w:tc>
          <w:tcPr>
            <w:tcW w:w="2513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</w:tc>
        <w:tc>
          <w:tcPr>
            <w:tcW w:w="2487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</w:tc>
      </w:tr>
      <w:tr w:rsidR="00EB36C5" w:rsidRPr="00D61992" w:rsidTr="00506A90">
        <w:tc>
          <w:tcPr>
            <w:tcW w:w="2513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</w:tc>
        <w:tc>
          <w:tcPr>
            <w:tcW w:w="2487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</w:tc>
      </w:tr>
      <w:tr w:rsidR="00EB36C5" w:rsidRPr="00D61992" w:rsidTr="00506A90">
        <w:tc>
          <w:tcPr>
            <w:tcW w:w="2513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</w:tc>
        <w:tc>
          <w:tcPr>
            <w:tcW w:w="2487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</w:tc>
      </w:tr>
      <w:tr w:rsidR="00EB36C5" w:rsidRPr="00D61992" w:rsidTr="00506A90">
        <w:tc>
          <w:tcPr>
            <w:tcW w:w="2513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DE2213" w:rsidRPr="00D61992" w:rsidRDefault="00DE2213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  <w:p w:rsidR="00EB36C5" w:rsidRPr="00D61992" w:rsidRDefault="00EB36C5" w:rsidP="00D61992">
            <w:pPr>
              <w:rPr>
                <w:rFonts w:cs="TH SarabunPSK"/>
              </w:rPr>
            </w:pPr>
          </w:p>
        </w:tc>
        <w:tc>
          <w:tcPr>
            <w:tcW w:w="2487" w:type="pct"/>
          </w:tcPr>
          <w:p w:rsidR="00EB36C5" w:rsidRPr="00D61992" w:rsidRDefault="00EB36C5" w:rsidP="00D61992">
            <w:pPr>
              <w:rPr>
                <w:rFonts w:cs="TH SarabunPSK"/>
              </w:rPr>
            </w:pPr>
          </w:p>
        </w:tc>
      </w:tr>
    </w:tbl>
    <w:p w:rsidR="00EB36C5" w:rsidRPr="00D61992" w:rsidRDefault="00EB36C5" w:rsidP="00D61992">
      <w:pPr>
        <w:rPr>
          <w:rFonts w:cs="TH SarabunPSK"/>
          <w:b/>
          <w:color w:val="006600"/>
        </w:rPr>
      </w:pPr>
    </w:p>
    <w:sectPr w:rsidR="00EB36C5" w:rsidRPr="00D61992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D66" w:rsidRDefault="00CD2D66" w:rsidP="00375F55">
      <w:pPr>
        <w:spacing w:after="0" w:line="240" w:lineRule="auto"/>
      </w:pPr>
      <w:r>
        <w:separator/>
      </w:r>
    </w:p>
  </w:endnote>
  <w:endnote w:type="continuationSeparator" w:id="0">
    <w:p w:rsidR="00CD2D66" w:rsidRDefault="00CD2D66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D66" w:rsidRDefault="00CD2D66" w:rsidP="00375F55">
      <w:pPr>
        <w:spacing w:after="0" w:line="240" w:lineRule="auto"/>
      </w:pPr>
      <w:r>
        <w:separator/>
      </w:r>
    </w:p>
  </w:footnote>
  <w:footnote w:type="continuationSeparator" w:id="0">
    <w:p w:rsidR="00CD2D66" w:rsidRDefault="00CD2D66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1992" w:rsidRDefault="00D6199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10A"/>
    <w:multiLevelType w:val="hybridMultilevel"/>
    <w:tmpl w:val="FC0C0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737173EC"/>
    <w:multiLevelType w:val="hybridMultilevel"/>
    <w:tmpl w:val="D4460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862F4"/>
    <w:rsid w:val="000C78A4"/>
    <w:rsid w:val="00133AE5"/>
    <w:rsid w:val="002A5DFA"/>
    <w:rsid w:val="00375F55"/>
    <w:rsid w:val="00481CD8"/>
    <w:rsid w:val="00484E44"/>
    <w:rsid w:val="00496F75"/>
    <w:rsid w:val="004C09E0"/>
    <w:rsid w:val="004C17C2"/>
    <w:rsid w:val="005B0DF8"/>
    <w:rsid w:val="00620104"/>
    <w:rsid w:val="00650CF9"/>
    <w:rsid w:val="006E79B8"/>
    <w:rsid w:val="0071686E"/>
    <w:rsid w:val="007543A3"/>
    <w:rsid w:val="007D04CA"/>
    <w:rsid w:val="008D572F"/>
    <w:rsid w:val="008F65DC"/>
    <w:rsid w:val="009C00A3"/>
    <w:rsid w:val="00A10617"/>
    <w:rsid w:val="00AB3BD7"/>
    <w:rsid w:val="00AD18AE"/>
    <w:rsid w:val="00B55967"/>
    <w:rsid w:val="00C00EC1"/>
    <w:rsid w:val="00CD2D66"/>
    <w:rsid w:val="00D103A0"/>
    <w:rsid w:val="00D61452"/>
    <w:rsid w:val="00D61992"/>
    <w:rsid w:val="00DC5EFE"/>
    <w:rsid w:val="00DE2213"/>
    <w:rsid w:val="00EB36C5"/>
    <w:rsid w:val="00F6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6155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4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6155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14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2015-03-10T03:57:00Z</dcterms:created>
  <dcterms:modified xsi:type="dcterms:W3CDTF">2015-03-10T03:57:00Z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